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jc w:val="right"/>
        <w:rPr>
          <w:rFonts w:ascii="Caladea" w:hAnsi="Caladea" w:eastAsia="Arial Unicode MS" w:cs="Tahoma"/>
          <w:b/>
          <w:b/>
          <w:bCs/>
          <w:color w:val="000000"/>
        </w:rPr>
      </w:pPr>
      <w:r>
        <w:rPr>
          <w:rFonts w:eastAsia="Arial Unicode MS" w:cs="Tahoma" w:ascii="Caladea" w:hAnsi="Caladea"/>
          <w:b/>
          <w:bCs/>
          <w:color w:val="000000"/>
        </w:rPr>
      </w:r>
    </w:p>
    <w:p>
      <w:pPr>
        <w:pStyle w:val="Standard"/>
        <w:jc w:val="right"/>
        <w:rPr>
          <w:rFonts w:ascii="Caladea" w:hAnsi="Caladea" w:eastAsia="Arial Unicode MS" w:cs="Tahoma"/>
          <w:b/>
          <w:b/>
          <w:bCs/>
          <w:color w:val="000000"/>
        </w:rPr>
      </w:pPr>
      <w:r>
        <w:rPr>
          <w:rFonts w:eastAsia="Arial Unicode MS" w:cs="Tahoma" w:ascii="Caladea" w:hAnsi="Caladea"/>
          <w:b/>
          <w:bCs/>
          <w:color w:val="000000"/>
        </w:rPr>
        <w:t>Estância Turística de Avaré, 26 de outubro de 2023</w:t>
      </w:r>
    </w:p>
    <w:p>
      <w:pPr>
        <w:pStyle w:val="Standard"/>
        <w:jc w:val="right"/>
        <w:rPr>
          <w:rFonts w:ascii="Caladea" w:hAnsi="Caladea" w:eastAsia="Arial Unicode MS" w:cs="Tahoma"/>
          <w:b/>
          <w:b/>
          <w:bCs/>
          <w:color w:val="000000"/>
        </w:rPr>
      </w:pPr>
      <w:r>
        <w:rPr>
          <w:rFonts w:eastAsia="Arial Unicode MS" w:cs="Tahoma" w:ascii="Caladea" w:hAnsi="Caladea"/>
          <w:b/>
          <w:bCs/>
          <w:color w:val="000000"/>
        </w:rPr>
      </w:r>
    </w:p>
    <w:p>
      <w:pPr>
        <w:pStyle w:val="Standard"/>
        <w:jc w:val="both"/>
        <w:rPr>
          <w:rFonts w:ascii="Caladea" w:hAnsi="Caladea" w:eastAsia="Arial Unicode MS" w:cs="Tahoma"/>
          <w:b/>
          <w:b/>
          <w:bCs/>
          <w:color w:val="000000"/>
        </w:rPr>
      </w:pPr>
      <w:r>
        <w:rPr>
          <w:rFonts w:eastAsia="Arial Unicode MS" w:cs="Tahoma" w:ascii="Caladea" w:hAnsi="Caladea"/>
          <w:b/>
          <w:bCs/>
          <w:color w:val="000000"/>
        </w:rPr>
      </w:r>
    </w:p>
    <w:p>
      <w:pPr>
        <w:pStyle w:val="Standard"/>
        <w:jc w:val="both"/>
        <w:rPr>
          <w:rFonts w:ascii="Arial" w:hAnsi="Arial"/>
        </w:rPr>
      </w:pPr>
      <w:r>
        <w:rPr>
          <w:rFonts w:ascii="Arial" w:hAnsi="Arial"/>
        </w:rPr>
        <w:t>Aos vinte e seis dias do mês de outubro do ano de 2023, às 09h00min, iniciou-se a reunião mensal, de forma presencial.</w:t>
      </w:r>
    </w:p>
    <w:p>
      <w:pPr>
        <w:pStyle w:val="Standard"/>
        <w:jc w:val="both"/>
        <w:rPr>
          <w:rFonts w:ascii="Arial" w:hAnsi="Arial"/>
        </w:rPr>
      </w:pPr>
      <w:r>
        <w:rPr>
          <w:rFonts w:ascii="Arial" w:hAnsi="Arial"/>
        </w:rPr>
        <w:t>Novamente a presidente agradeceu o comparecimento de todos, reforçando a importância das reuniões mensais e da presença de todos os conselheiros.</w:t>
      </w:r>
    </w:p>
    <w:p>
      <w:pPr>
        <w:pStyle w:val="Standard"/>
        <w:jc w:val="both"/>
        <w:rPr>
          <w:rFonts w:ascii="Arial" w:hAnsi="Arial"/>
        </w:rPr>
      </w:pPr>
      <w:r>
        <w:rPr>
          <w:rFonts w:ascii="Arial" w:hAnsi="Arial"/>
        </w:rPr>
      </w:r>
    </w:p>
    <w:p>
      <w:pPr>
        <w:pStyle w:val="Standard"/>
        <w:jc w:val="both"/>
        <w:rPr>
          <w:rFonts w:ascii="Arial" w:hAnsi="Arial"/>
        </w:rPr>
      </w:pPr>
      <w:r>
        <w:rPr>
          <w:rFonts w:ascii="Arial" w:hAnsi="Arial"/>
        </w:rPr>
      </w:r>
    </w:p>
    <w:p>
      <w:pPr>
        <w:pStyle w:val="Standard"/>
        <w:jc w:val="both"/>
        <w:rPr>
          <w:rFonts w:ascii="Arial" w:hAnsi="Arial"/>
        </w:rPr>
      </w:pPr>
      <w:r>
        <w:rPr>
          <w:rFonts w:ascii="Arial" w:hAnsi="Arial"/>
        </w:rPr>
        <w:t>Pauta do dia: 1 - A presidente do conselho, Sra Michele relata que enviou ofícios para todas as entidades da área da saúde, de Avaré com a ficha de inscrição para o mandato do próximo biênio (2024/2025). A Secretaria da Saúde já indicou seus membros e já obteve resposta da Santa Casa de Misericórdia de Avaré, APAE, Arco Iris.</w:t>
      </w:r>
    </w:p>
    <w:p>
      <w:pPr>
        <w:pStyle w:val="Standard"/>
        <w:jc w:val="both"/>
        <w:rPr>
          <w:rFonts w:ascii="Arial" w:hAnsi="Arial"/>
        </w:rPr>
      </w:pPr>
      <w:r>
        <w:rPr>
          <w:rFonts w:ascii="Arial" w:hAnsi="Arial"/>
        </w:rPr>
        <w:t>O Lar São Vicente de Paulo já se manifestou, relatando que irá se pronunciar, mas ainda não o fez formalmente.</w:t>
      </w:r>
    </w:p>
    <w:p>
      <w:pPr>
        <w:pStyle w:val="Standard"/>
        <w:jc w:val="both"/>
        <w:rPr>
          <w:rFonts w:ascii="Arial" w:hAnsi="Arial"/>
        </w:rPr>
      </w:pPr>
      <w:r>
        <w:rPr>
          <w:rFonts w:ascii="Arial" w:hAnsi="Arial"/>
        </w:rPr>
        <w:t>Lembrando, que segundo a Lei Ordinária 126 de 1993, o Conselho Municipal de Saúde deve ser composto por:</w:t>
      </w:r>
    </w:p>
    <w:p>
      <w:pPr>
        <w:pStyle w:val="Standard"/>
        <w:jc w:val="both"/>
        <w:rPr>
          <w:rFonts w:ascii="Arial" w:hAnsi="Arial"/>
        </w:rPr>
      </w:pPr>
      <w:r>
        <w:rPr>
          <w:rFonts w:ascii="Arial" w:hAnsi="Arial"/>
        </w:rPr>
      </w:r>
    </w:p>
    <w:p>
      <w:pPr>
        <w:pStyle w:val="Standard"/>
        <w:numPr>
          <w:ilvl w:val="0"/>
          <w:numId w:val="1"/>
        </w:numPr>
        <w:jc w:val="both"/>
        <w:rPr>
          <w:rFonts w:ascii="Arial" w:hAnsi="Arial"/>
        </w:rPr>
      </w:pPr>
      <w:r>
        <w:rPr>
          <w:rFonts w:ascii="Arial" w:hAnsi="Arial"/>
        </w:rPr>
        <w:t>1 Representante da Secretaria Municipal da Saúde,</w:t>
      </w:r>
    </w:p>
    <w:p>
      <w:pPr>
        <w:pStyle w:val="Standard"/>
        <w:numPr>
          <w:ilvl w:val="0"/>
          <w:numId w:val="1"/>
        </w:numPr>
        <w:jc w:val="both"/>
        <w:rPr>
          <w:rFonts w:ascii="Arial" w:hAnsi="Arial"/>
        </w:rPr>
      </w:pPr>
      <w:r>
        <w:rPr>
          <w:rFonts w:ascii="Arial" w:hAnsi="Arial"/>
        </w:rPr>
        <w:t>2 Representantes dos Prestadores de Serviços das Saúde, sendo um de entidade filantrópica e um de entidade sem fins lucrativos,</w:t>
      </w:r>
    </w:p>
    <w:p>
      <w:pPr>
        <w:pStyle w:val="Standard"/>
        <w:numPr>
          <w:ilvl w:val="0"/>
          <w:numId w:val="1"/>
        </w:numPr>
        <w:jc w:val="both"/>
        <w:rPr>
          <w:rFonts w:ascii="Arial" w:hAnsi="Arial"/>
        </w:rPr>
      </w:pPr>
      <w:r>
        <w:rPr>
          <w:rFonts w:ascii="Arial" w:hAnsi="Arial"/>
        </w:rPr>
        <w:t>1 representante do conjunto das entidades de representação de outros profissionais da área da saúde.</w:t>
      </w:r>
    </w:p>
    <w:p>
      <w:pPr>
        <w:pStyle w:val="Standard"/>
        <w:numPr>
          <w:ilvl w:val="0"/>
          <w:numId w:val="1"/>
        </w:numPr>
        <w:jc w:val="both"/>
        <w:rPr>
          <w:rFonts w:ascii="Arial" w:hAnsi="Arial"/>
        </w:rPr>
      </w:pPr>
      <w:r>
        <w:rPr>
          <w:rFonts w:ascii="Arial" w:hAnsi="Arial"/>
        </w:rPr>
        <w:t>2 representantes dos trabalhadores de saúde,</w:t>
      </w:r>
    </w:p>
    <w:p>
      <w:pPr>
        <w:pStyle w:val="Standard"/>
        <w:numPr>
          <w:ilvl w:val="0"/>
          <w:numId w:val="1"/>
        </w:numPr>
        <w:jc w:val="both"/>
        <w:rPr>
          <w:rFonts w:ascii="Arial" w:hAnsi="Arial"/>
        </w:rPr>
      </w:pPr>
      <w:r>
        <w:rPr>
          <w:rFonts w:ascii="Arial" w:hAnsi="Arial"/>
        </w:rPr>
        <w:t>6 representantes dos usuários, indicados trabalhadores, sindicatos patronais, associações de deficientes e outras entidades civil.</w:t>
      </w:r>
    </w:p>
    <w:p>
      <w:pPr>
        <w:pStyle w:val="Standard"/>
        <w:ind w:left="720" w:hanging="0"/>
        <w:jc w:val="both"/>
        <w:rPr>
          <w:rFonts w:ascii="Arial" w:hAnsi="Arial"/>
        </w:rPr>
      </w:pPr>
      <w:r>
        <w:rPr>
          <w:rFonts w:ascii="Arial" w:hAnsi="Arial"/>
        </w:rPr>
      </w:r>
    </w:p>
    <w:p>
      <w:pPr>
        <w:pStyle w:val="Standard"/>
        <w:jc w:val="both"/>
        <w:rPr>
          <w:rFonts w:ascii="Arial" w:hAnsi="Arial"/>
        </w:rPr>
      </w:pPr>
      <w:r>
        <w:rPr>
          <w:rFonts w:ascii="Arial" w:hAnsi="Arial"/>
        </w:rPr>
        <w:t xml:space="preserve">Para alguns desses cargos foram sugeridos a participação da Santa Casa de Avaré e Unimed; ABOVA e APAE, OAB. Mas o recebimento todas as fichas de inscrição serão aguardadas até 06/11/2023 para a montagem da chapa. No dia </w:t>
      </w:r>
      <w:r>
        <w:rPr>
          <w:rFonts w:ascii="Arial" w:hAnsi="Arial"/>
          <w:b/>
          <w:bCs/>
        </w:rPr>
        <w:t>07/12/2023</w:t>
      </w:r>
      <w:r>
        <w:rPr>
          <w:rFonts w:ascii="Arial" w:hAnsi="Arial"/>
        </w:rPr>
        <w:t xml:space="preserve"> deverá acontecer a reunião mensal com definição e/ou votação das chapas apresentadas.</w:t>
      </w:r>
    </w:p>
    <w:p>
      <w:pPr>
        <w:pStyle w:val="Standard"/>
        <w:jc w:val="both"/>
        <w:rPr>
          <w:rFonts w:ascii="Arial" w:hAnsi="Arial"/>
        </w:rPr>
      </w:pPr>
      <w:r>
        <w:rPr>
          <w:rFonts w:ascii="Arial" w:hAnsi="Arial"/>
        </w:rPr>
      </w:r>
    </w:p>
    <w:p>
      <w:pPr>
        <w:pStyle w:val="Standard"/>
        <w:jc w:val="both"/>
        <w:rPr>
          <w:rFonts w:ascii="Arial" w:hAnsi="Arial"/>
        </w:rPr>
      </w:pPr>
      <w:r>
        <w:rPr>
          <w:rFonts w:ascii="Arial" w:hAnsi="Arial"/>
        </w:rPr>
        <w:t>A Sra. Michele lembra que todas as atas das reuniões do CMS são publicadas no site para anuência de todos.</w:t>
      </w:r>
    </w:p>
    <w:p>
      <w:pPr>
        <w:pStyle w:val="Standard"/>
        <w:rPr>
          <w:rFonts w:ascii="Arial" w:hAnsi="Arial"/>
        </w:rPr>
      </w:pPr>
      <w:r>
        <w:rPr>
          <w:rFonts w:ascii="Arial" w:hAnsi="Arial"/>
        </w:rPr>
      </w:r>
    </w:p>
    <w:p>
      <w:pPr>
        <w:pStyle w:val="Standard"/>
        <w:rPr>
          <w:rFonts w:ascii="Arial" w:hAnsi="Arial"/>
        </w:rPr>
      </w:pPr>
      <w:r>
        <w:rPr>
          <w:rFonts w:ascii="Arial" w:hAnsi="Arial"/>
        </w:rPr>
        <w:t>Pauta do dia: 2 - Leitura dos contratos renovados pela Secretaria da Saúde para outubro e novembro por um período de um ano, a saber (valor global):</w:t>
      </w:r>
    </w:p>
    <w:p>
      <w:pPr>
        <w:pStyle w:val="Standard"/>
        <w:numPr>
          <w:ilvl w:val="0"/>
          <w:numId w:val="2"/>
        </w:numPr>
        <w:rPr>
          <w:rFonts w:ascii="Arial" w:hAnsi="Arial"/>
        </w:rPr>
      </w:pPr>
      <w:r>
        <w:rPr>
          <w:rFonts w:ascii="Arial" w:hAnsi="Arial"/>
        </w:rPr>
        <w:t>Prorrogação de contrato com a Sociedade Beneficente Bezerra de Menezes – acolhimento de pacientes dependência Grau 3, no valor de R$ 121.150,00.</w:t>
      </w:r>
    </w:p>
    <w:p>
      <w:pPr>
        <w:pStyle w:val="Standard"/>
        <w:numPr>
          <w:ilvl w:val="0"/>
          <w:numId w:val="2"/>
        </w:numPr>
        <w:rPr>
          <w:rFonts w:ascii="Arial" w:hAnsi="Arial"/>
        </w:rPr>
      </w:pPr>
      <w:r>
        <w:rPr>
          <w:rFonts w:ascii="Arial" w:hAnsi="Arial"/>
        </w:rPr>
        <w:t>Renovação de contrato com a White Martins – oxigênio para P.S (recarga, manutenção e telemetria), no valor de R$ 646.559,04. Dr José Carlos sugere a verificação sobre a imunidade de imposto. Sra Michele reforça que todos os contratos antes do fechamento passam por análise jurídica.</w:t>
      </w:r>
    </w:p>
    <w:p>
      <w:pPr>
        <w:pStyle w:val="Standard"/>
        <w:numPr>
          <w:ilvl w:val="0"/>
          <w:numId w:val="2"/>
        </w:numPr>
        <w:rPr>
          <w:rFonts w:ascii="Arial" w:hAnsi="Arial"/>
        </w:rPr>
      </w:pPr>
      <w:r>
        <w:rPr>
          <w:rFonts w:ascii="Arial" w:hAnsi="Arial"/>
        </w:rPr>
        <w:t xml:space="preserve">Renovação do contrato com a empresa Rápido Sumaré – fretamento diário entre Avaré, Jaú e Bauru, no valor </w:t>
      </w:r>
      <w:r>
        <w:rPr>
          <w:rFonts w:ascii="Arial" w:hAnsi="Arial"/>
          <w:u w:val="single"/>
        </w:rPr>
        <w:t>semestral</w:t>
      </w:r>
      <w:r>
        <w:rPr>
          <w:rFonts w:ascii="Arial" w:hAnsi="Arial"/>
        </w:rPr>
        <w:t xml:space="preserve"> de R$ 290.804,35.</w:t>
      </w:r>
    </w:p>
    <w:p>
      <w:pPr>
        <w:pStyle w:val="Standard"/>
        <w:numPr>
          <w:ilvl w:val="0"/>
          <w:numId w:val="2"/>
        </w:numPr>
        <w:rPr>
          <w:rFonts w:ascii="Arial" w:hAnsi="Arial"/>
        </w:rPr>
      </w:pPr>
      <w:r>
        <w:rPr>
          <w:rFonts w:ascii="Arial" w:hAnsi="Arial"/>
        </w:rPr>
        <w:t>Contratação de empresa especializada em manutenção preventiva nas câmaras de refrigeração da Assistência Farmacêutica, no valor em média de R$ 13.146,00 (abertura de licitação).</w:t>
      </w:r>
    </w:p>
    <w:p>
      <w:pPr>
        <w:pStyle w:val="Standard"/>
        <w:numPr>
          <w:ilvl w:val="0"/>
          <w:numId w:val="2"/>
        </w:numPr>
        <w:rPr>
          <w:rFonts w:ascii="Arial" w:hAnsi="Arial"/>
        </w:rPr>
      </w:pPr>
      <w:r>
        <w:rPr>
          <w:rFonts w:ascii="Arial" w:hAnsi="Arial"/>
        </w:rPr>
        <w:t>Prorrogação do contrato com a empresa LGS Hayashi Clínica Médica LTDA – médico do trabalho do DESS, no valor de R$ 200.719,22.</w:t>
      </w:r>
    </w:p>
    <w:p>
      <w:pPr>
        <w:pStyle w:val="Standard"/>
        <w:numPr>
          <w:ilvl w:val="0"/>
          <w:numId w:val="2"/>
        </w:numPr>
        <w:rPr>
          <w:rFonts w:ascii="Arial" w:hAnsi="Arial"/>
        </w:rPr>
      </w:pPr>
      <w:r>
        <w:rPr>
          <w:rFonts w:ascii="Arial" w:hAnsi="Arial"/>
        </w:rPr>
        <w:t>Prorrogação do contrato com a empresa Urbano &amp; Abdala - exames, no valor de R$ 43.780,00</w:t>
      </w:r>
    </w:p>
    <w:p>
      <w:pPr>
        <w:pStyle w:val="Standard"/>
        <w:numPr>
          <w:ilvl w:val="0"/>
          <w:numId w:val="2"/>
        </w:numPr>
        <w:rPr>
          <w:rFonts w:ascii="Arial" w:hAnsi="Arial"/>
        </w:rPr>
      </w:pPr>
      <w:r>
        <w:rPr>
          <w:rFonts w:ascii="Arial" w:hAnsi="Arial"/>
        </w:rPr>
        <w:t>Aquisição de 2 (dois) veículos para a Secretaria de Saúde sendo 1 (uma) ambulância do tipo A e 1 (uma) Van de 16 lugares para transporte de pacientes – valor ainda a ser definido.</w:t>
      </w:r>
    </w:p>
    <w:p>
      <w:pPr>
        <w:pStyle w:val="Standard"/>
        <w:ind w:left="720" w:hanging="0"/>
        <w:rPr>
          <w:rFonts w:ascii="Arial" w:hAnsi="Arial"/>
        </w:rPr>
      </w:pPr>
      <w:r>
        <w:rPr>
          <w:rFonts w:ascii="Arial" w:hAnsi="Arial"/>
        </w:rPr>
      </w:r>
    </w:p>
    <w:p>
      <w:pPr>
        <w:pStyle w:val="Standard"/>
        <w:jc w:val="both"/>
        <w:rPr>
          <w:rFonts w:ascii="Arial" w:hAnsi="Arial"/>
        </w:rPr>
      </w:pPr>
      <w:r>
        <w:rPr>
          <w:rFonts w:ascii="Arial" w:hAnsi="Arial"/>
        </w:rPr>
      </w:r>
    </w:p>
    <w:p>
      <w:pPr>
        <w:pStyle w:val="Standard"/>
        <w:jc w:val="both"/>
        <w:rPr>
          <w:rFonts w:ascii="Arial" w:hAnsi="Arial"/>
        </w:rPr>
      </w:pPr>
      <w:r>
        <w:rPr>
          <w:rFonts w:ascii="Arial" w:hAnsi="Arial"/>
        </w:rPr>
        <w:t>Pauta do dia: 3 – Pregão Eletrônico 208/23 - Medicamentos para a Saúde deverá finalizar em 23/11/2023.</w:t>
      </w:r>
    </w:p>
    <w:p>
      <w:pPr>
        <w:pStyle w:val="Standard"/>
        <w:jc w:val="both"/>
        <w:rPr>
          <w:rFonts w:ascii="Arial" w:hAnsi="Arial"/>
        </w:rPr>
      </w:pPr>
      <w:r>
        <w:rPr>
          <w:rFonts w:ascii="Arial" w:hAnsi="Arial"/>
        </w:rPr>
      </w:r>
    </w:p>
    <w:p>
      <w:pPr>
        <w:pStyle w:val="Standard"/>
        <w:jc w:val="both"/>
        <w:rPr>
          <w:rFonts w:ascii="Arial" w:hAnsi="Arial"/>
        </w:rPr>
      </w:pPr>
      <w:r>
        <w:rPr>
          <w:rFonts w:ascii="Arial" w:hAnsi="Arial"/>
        </w:rPr>
        <w:t xml:space="preserve">Pauta do dia:4 – Proposta de abertura de pauta de Crachá para Doenças Ocultas. </w:t>
      </w:r>
    </w:p>
    <w:p>
      <w:pPr>
        <w:pStyle w:val="Standard"/>
        <w:jc w:val="both"/>
        <w:rPr>
          <w:rFonts w:ascii="Arial" w:hAnsi="Arial"/>
        </w:rPr>
      </w:pPr>
      <w:r>
        <w:rPr>
          <w:rFonts w:ascii="Arial" w:hAnsi="Arial"/>
        </w:rPr>
      </w:r>
    </w:p>
    <w:p>
      <w:pPr>
        <w:pStyle w:val="Standard"/>
        <w:jc w:val="both"/>
        <w:rPr/>
      </w:pPr>
      <w:r>
        <w:rPr>
          <w:rFonts w:ascii="Arial" w:hAnsi="Arial"/>
        </w:rPr>
        <w:t>Nada mais tendo sido deliberado, essa Ata foi lavrada por mim, Márcia Helena de Freitas Sgarbi de Andrade Villela, na qualidade de secretária do CMS e, tendo sido lida por todos, foi aprovada e assinada pelos conselheiros presentes. Encerramento feito às 10h00.</w:t>
      </w:r>
    </w:p>
    <w:sectPr>
      <w:headerReference w:type="default" r:id="rId2"/>
      <w:footerReference w:type="default" r:id="rId3"/>
      <w:type w:val="nextPage"/>
      <w:pgSz w:w="11906" w:h="16838"/>
      <w:pgMar w:left="1020" w:right="1121" w:header="540" w:top="2190" w:footer="72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swiss"/>
    <w:pitch w:val="variable"/>
  </w:font>
  <w:font w:name="OpenSymbol">
    <w:altName w:val="Arial Unicode MS"/>
    <w:charset w:val="00"/>
    <w:family w:val="roman"/>
    <w:pitch w:val="variable"/>
  </w:font>
  <w:font w:name="Liberation Sans">
    <w:altName w:val="Arial"/>
    <w:charset w:val="00"/>
    <w:family w:val="roman"/>
    <w:pitch w:val="variable"/>
  </w:font>
  <w:font w:name="Caladea">
    <w:altName w:val="Cambria"/>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color w:val="000000"/>
        <w:sz w:val="20"/>
        <w:szCs w:val="20"/>
      </w:rPr>
    </w:pPr>
    <w:r>
      <w:rPr>
        <w:color w:val="000000"/>
        <w:sz w:val="20"/>
        <w:szCs w:val="20"/>
      </w:rPr>
      <w:t xml:space="preserve">Avenida Misael Eufrásio Leal, n.º 999 – Centro – Cep 18705-050 Avaré </w:t>
      <w:tab/>
      <w:t>Tel: 14 - 3711-1430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inline distT="0" distB="0" distL="0" distR="0">
          <wp:extent cx="1007110" cy="92519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tretch>
                    <a:fillRect/>
                  </a:stretch>
                </pic:blipFill>
                <pic:spPr bwMode="auto">
                  <a:xfrm>
                    <a:off x="0" y="0"/>
                    <a:ext cx="1007110" cy="925195"/>
                  </a:xfrm>
                  <a:prstGeom prst="rect">
                    <a:avLst/>
                  </a:prstGeom>
                </pic:spPr>
              </pic:pic>
            </a:graphicData>
          </a:graphic>
        </wp:inline>
      </w:drawing>
      <w:drawing>
        <wp:anchor behindDoc="1" distT="0" distB="0" distL="114300" distR="114300" simplePos="0" locked="0" layoutInCell="0" allowOverlap="1" relativeHeight="5">
          <wp:simplePos x="0" y="0"/>
          <wp:positionH relativeFrom="column">
            <wp:posOffset>3797300</wp:posOffset>
          </wp:positionH>
          <wp:positionV relativeFrom="paragraph">
            <wp:posOffset>-104775</wp:posOffset>
          </wp:positionV>
          <wp:extent cx="2531745" cy="1153795"/>
          <wp:effectExtent l="0" t="0" r="0" b="0"/>
          <wp:wrapTopAndBottom/>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2"/>
                  <a:stretch>
                    <a:fillRect/>
                  </a:stretch>
                </pic:blipFill>
                <pic:spPr bwMode="auto">
                  <a:xfrm>
                    <a:off x="0" y="0"/>
                    <a:ext cx="2531745" cy="115379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pt-B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pt-BR" w:eastAsia="zh-CN" w:bidi="hi-IN"/>
    </w:rPr>
  </w:style>
  <w:style w:type="paragraph" w:styleId="Ttulo1">
    <w:name w:val="Heading 1"/>
    <w:basedOn w:val="Standard"/>
    <w:next w:val="Standard"/>
    <w:uiPriority w:val="9"/>
    <w:qFormat/>
    <w:pPr>
      <w:keepNext w:val="true"/>
      <w:jc w:val="center"/>
      <w:outlineLvl w:val="0"/>
    </w:pPr>
    <w:rPr>
      <w:b/>
      <w:bCs/>
      <w:sz w:val="28"/>
    </w:rPr>
  </w:style>
  <w:style w:type="paragraph" w:styleId="Ttulo2">
    <w:name w:val="Heading 2"/>
    <w:basedOn w:val="Standard"/>
    <w:next w:val="Standard"/>
    <w:uiPriority w:val="9"/>
    <w:semiHidden/>
    <w:unhideWhenUsed/>
    <w:qFormat/>
    <w:pPr>
      <w:keepNext w:val="true"/>
      <w:jc w:val="center"/>
      <w:outlineLvl w:val="1"/>
    </w:pPr>
    <w:rPr>
      <w:rFonts w:ascii="Tahoma" w:hAnsi="Tahoma" w:eastAsia="Tahoma" w:cs="Tahoma"/>
      <w:b/>
      <w:bCs/>
      <w:sz w:val="22"/>
    </w:rPr>
  </w:style>
  <w:style w:type="character" w:styleId="DefaultParagraphFont" w:default="1">
    <w:name w:val="Default Paragraph Font"/>
    <w:uiPriority w:val="1"/>
    <w:semiHidden/>
    <w:unhideWhenUsed/>
    <w:qFormat/>
    <w:rPr/>
  </w:style>
  <w:style w:type="character" w:styleId="Marcas" w:customStyle="1">
    <w:name w:val="Marcas"/>
    <w:qFormat/>
    <w:rPr>
      <w:rFonts w:ascii="OpenSymbol" w:hAnsi="OpenSymbol" w:eastAsia="OpenSymbol" w:cs="OpenSymbol"/>
    </w:rPr>
  </w:style>
  <w:style w:type="paragraph" w:styleId="Ttulo" w:customStyle="1">
    <w:name w:val="Título"/>
    <w:basedOn w:val="Standard"/>
    <w:next w:val="Textbody"/>
    <w:qFormat/>
    <w:pPr>
      <w:keepNext w:val="true"/>
      <w:spacing w:before="240" w:after="120"/>
    </w:pPr>
    <w:rPr>
      <w:rFonts w:ascii="Liberation Sans" w:hAnsi="Liberation Sans" w:eastAsia="Microsoft YaHei"/>
      <w:sz w:val="28"/>
      <w:szCs w:val="28"/>
    </w:rPr>
  </w:style>
  <w:style w:type="paragraph" w:styleId="Corpodotexto">
    <w:name w:val="Body Text"/>
    <w:basedOn w:val="Normal"/>
    <w:pPr>
      <w:spacing w:lineRule="auto" w:line="276" w:before="0" w:after="140"/>
    </w:pPr>
    <w:rPr/>
  </w:style>
  <w:style w:type="paragraph" w:styleId="Lista">
    <w:name w:val="List"/>
    <w:basedOn w:val="Textbody"/>
    <w:pPr/>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Standard"/>
    <w:qFormat/>
    <w:pPr>
      <w:suppressLineNumbers/>
    </w:pPr>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pt-BR" w:eastAsia="zh-CN" w:bidi="hi-IN"/>
    </w:rPr>
  </w:style>
  <w:style w:type="paragraph" w:styleId="Textbody" w:customStyle="1">
    <w:name w:val="Text body"/>
    <w:basedOn w:val="Standard"/>
    <w:qFormat/>
    <w:pPr>
      <w:spacing w:lineRule="auto" w:line="276" w:before="0" w:after="140"/>
    </w:pPr>
    <w:rPr/>
  </w:style>
  <w:style w:type="paragraph" w:styleId="Caption">
    <w:name w:val="caption"/>
    <w:basedOn w:val="Standard"/>
    <w:qFormat/>
    <w:pPr>
      <w:suppressLineNumbers/>
      <w:spacing w:before="120" w:after="120"/>
    </w:pPr>
    <w:rPr>
      <w:i/>
      <w:iCs/>
    </w:rPr>
  </w:style>
  <w:style w:type="paragraph" w:styleId="CabealhoeRodap" w:customStyle="1">
    <w:name w:val="Cabeçalho e Rodapé"/>
    <w:basedOn w:val="Standard"/>
    <w:qFormat/>
    <w:pPr>
      <w:suppressLineNumbers/>
      <w:tabs>
        <w:tab w:val="clear" w:pos="709"/>
        <w:tab w:val="center" w:pos="4819" w:leader="none"/>
        <w:tab w:val="right" w:pos="9638" w:leader="none"/>
      </w:tabs>
    </w:pPr>
    <w:rPr/>
  </w:style>
  <w:style w:type="paragraph" w:styleId="Rodap">
    <w:name w:val="Footer"/>
    <w:basedOn w:val="Standard"/>
    <w:pPr>
      <w:suppressLineNumbers/>
      <w:tabs>
        <w:tab w:val="clear" w:pos="709"/>
        <w:tab w:val="center" w:pos="4882" w:leader="none"/>
        <w:tab w:val="right" w:pos="9765" w:leader="none"/>
      </w:tabs>
    </w:pPr>
    <w:rPr/>
  </w:style>
  <w:style w:type="paragraph" w:styleId="Cabealho">
    <w:name w:val="Header"/>
    <w:basedOn w:val="Standard"/>
    <w:pPr>
      <w:suppressLineNumbers/>
      <w:tabs>
        <w:tab w:val="clear" w:pos="709"/>
        <w:tab w:val="center" w:pos="4882" w:leader="none"/>
        <w:tab w:val="right" w:pos="9765" w:leader="none"/>
      </w:tabs>
    </w:pPr>
    <w:rPr/>
  </w:style>
  <w:style w:type="paragraph" w:styleId="Contedodoquadro" w:customStyle="1">
    <w:name w:val="Conteúdo do quadro"/>
    <w:basedOn w:val="Standard"/>
    <w:qFormat/>
    <w:pPr/>
    <w:rPr/>
  </w:style>
  <w:style w:type="paragraph" w:styleId="ListParagraph">
    <w:name w:val="List Paragraph"/>
    <w:basedOn w:val="Normal"/>
    <w:qFormat/>
    <w:pPr>
      <w:spacing w:before="0" w:after="0"/>
      <w:ind w:left="720" w:hanging="0"/>
      <w:contextualSpacing/>
    </w:pPr>
    <w:rPr>
      <w:rFonts w:cs="Mangal"/>
      <w:szCs w:val="21"/>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Application>LibreOffice/7.0.0.3$Windows_X86_64 LibreOffice_project/8061b3e9204bef6b321a21033174034a5e2ea88e</Application>
  <Pages>2</Pages>
  <Words>587</Words>
  <Characters>2985</Characters>
  <CharactersWithSpaces>3546</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2023-11-07T11:36:00Z</dcterms:created>
  <dc:creator/>
  <dc:description/>
  <dc:language>pt-BR</dc:language>
  <cp:lastModifiedBy>Marcus de Andrade Villela</cp:lastModifiedBy>
  <cp:lastPrinted>2023-11-08T11:03:21Z</cp:lastPrinted>
  <dcterms:modified xsi:type="dcterms:W3CDTF">2023-11-07T12:53:00Z</dcterms:modified>
  <cp:revision>65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